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tLeast" w:line="240" w:before="0" w:after="0"/>
        <w:ind w:left="0" w:hanging="0"/>
        <w:jc w:val="center"/>
        <w:rPr>
          <w:b/>
          <w:b/>
          <w:color w:val="000000"/>
        </w:rPr>
      </w:pPr>
      <w:r>
        <w:rPr>
          <w:b/>
          <w:color w:val="000000"/>
        </w:rPr>
        <w:t xml:space="preserve">Порядок выплаты и доставки пенсий, </w:t>
        <w:br/>
        <w:t xml:space="preserve">способы подачи заявлений о выборе доставочной организации </w:t>
      </w:r>
    </w:p>
    <w:p>
      <w:pPr>
        <w:pStyle w:val="NormalWeb"/>
        <w:spacing w:lineRule="atLeast" w:line="240" w:before="0" w:after="0"/>
        <w:ind w:left="0" w:hanging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Web"/>
        <w:spacing w:lineRule="atLeast" w:line="240" w:before="0" w:after="0"/>
        <w:jc w:val="both"/>
        <w:rPr/>
      </w:pPr>
      <w:r>
        <w:rPr/>
        <w:tab/>
        <w:t xml:space="preserve">Одной из основных задач Пенсионного фонда является организация своевременной, качественной и максимально удобной доставки пенсии и других социальных выплат, этот процесс постоянно совершенствуется и становится более рациональным.  </w:t>
      </w:r>
    </w:p>
    <w:p>
      <w:pPr>
        <w:pStyle w:val="NormalWeb"/>
        <w:spacing w:lineRule="atLeast" w:line="240" w:before="0" w:after="0"/>
        <w:jc w:val="both"/>
        <w:rPr/>
      </w:pPr>
      <w:r>
        <w:rPr/>
        <w:tab/>
        <w:t xml:space="preserve">Так, в настоящее время на территории Ярославской области  выплата и доставка пенсии производится  </w:t>
      </w:r>
      <w:r>
        <w:rPr>
          <w:i/>
        </w:rPr>
        <w:t>через организацию федеральной почтовой связи и 26 кредитные организации</w:t>
      </w:r>
      <w:r>
        <w:rPr/>
        <w:t xml:space="preserve">, </w:t>
        <w:br/>
        <w:t xml:space="preserve">с которыми заключены договоры по типовой форме, утвержденной приказом Министерства труда и социальной защиты Российской Федерации от 14.11.2014 №881н.  </w:t>
      </w:r>
    </w:p>
    <w:p>
      <w:pPr>
        <w:pStyle w:val="NormalWeb"/>
        <w:spacing w:lineRule="atLeast" w:line="240" w:before="0" w:after="0"/>
        <w:jc w:val="both"/>
        <w:rPr>
          <w:i/>
          <w:i/>
        </w:rPr>
      </w:pPr>
      <w:r>
        <w:rPr/>
        <w:tab/>
        <w:t xml:space="preserve">Договором определен  порядок документооборота, сроки зачисления сумм пенсий и других выплат на счета пенсионеров,  открытых в кредитных организациях, меры ответственности за их нарушение и нецелевое расходование средств бюджета ПФР, то есть основной целью заключения договорных обязательств является обеспечение сохранности пенсионных средств,  своевременной доставки пенсий, </w:t>
      </w:r>
      <w:r>
        <w:rPr>
          <w:i/>
        </w:rPr>
        <w:t xml:space="preserve">а главное </w:t>
      </w:r>
      <w:bookmarkStart w:id="0" w:name="_GoBack"/>
      <w:bookmarkEnd w:id="0"/>
      <w:r>
        <w:rPr/>
        <w:t>- соблюдение пенсионных прав граждан</w:t>
      </w:r>
      <w:r>
        <w:rPr>
          <w:i/>
        </w:rPr>
        <w:t xml:space="preserve">. </w:t>
        <w:tab/>
      </w:r>
    </w:p>
    <w:p>
      <w:pPr>
        <w:pStyle w:val="NormalWeb"/>
        <w:spacing w:lineRule="atLeast" w:line="240" w:before="0" w:after="0"/>
        <w:jc w:val="both"/>
        <w:rPr/>
      </w:pPr>
      <w:r>
        <w:rPr>
          <w:i/>
        </w:rPr>
        <w:tab/>
      </w:r>
      <w:r>
        <w:rPr/>
        <w:t xml:space="preserve">Перечень кредитных организаций, с которыми Отделением ПФР по Ярославской области заключены договоры о порядке взаимодействия при доставке пенсии, размещен на сайте </w:t>
      </w:r>
      <w:r>
        <w:rPr>
          <w:lang w:val="en-US"/>
        </w:rPr>
        <w:t>www</w:t>
      </w:r>
      <w:r>
        <w:rPr/>
        <w:t>.</w:t>
      </w:r>
      <w:r>
        <w:rPr>
          <w:lang w:val="en-US"/>
        </w:rPr>
        <w:t>pfr</w:t>
      </w:r>
      <w:r>
        <w:rPr/>
        <w:t>.</w:t>
      </w:r>
      <w:r>
        <w:rPr>
          <w:lang w:val="en-US"/>
        </w:rPr>
        <w:t>ru</w:t>
      </w:r>
      <w:r>
        <w:rPr/>
        <w:t xml:space="preserve">.  </w:t>
      </w:r>
    </w:p>
    <w:p>
      <w:pPr>
        <w:pStyle w:val="NormalWeb"/>
        <w:spacing w:lineRule="atLeast" w:line="240" w:before="0" w:after="0"/>
        <w:jc w:val="both"/>
        <w:rPr/>
      </w:pPr>
      <w:r>
        <w:rPr/>
        <w:tab/>
        <w:t xml:space="preserve">Отсутствие договора не является основанием для отказа в приеме заявления о выборе способа доставки. </w:t>
        <w:tab/>
        <w:t xml:space="preserve">Действующим пенсионным законодательством предусмотрено, что в случае выбора пенсионером кредитной организации,  с которой договор </w:t>
        <w:br/>
        <w:t xml:space="preserve">не заключен, рассмотрение заявления о доставке пенсии приостанавливается до момента заключения договорных обязательств, но не более чем на три месяца. При этом в заявлении о доставке пенсии пенсионером указывается организация, осуществляющая доставку, которая будет доставлять ему пенсию на период заключения договора.  </w:t>
      </w:r>
    </w:p>
    <w:p>
      <w:pPr>
        <w:pStyle w:val="NormalWeb"/>
        <w:spacing w:lineRule="atLeast" w:line="240" w:before="0" w:after="0"/>
        <w:jc w:val="both"/>
        <w:rPr/>
      </w:pPr>
      <w:r>
        <w:rPr/>
        <w:tab/>
        <w:t xml:space="preserve">При отказе кредитной организации от заключения договора территориальный орган ПФР информирует об этом пенсионера, а также сообщает о необходимости выбора организации, осуществляющей доставку, с которой территориальным органом Пенсионного фонда Российской Федерации заключены договоры. </w:t>
      </w:r>
    </w:p>
    <w:p>
      <w:pPr>
        <w:pStyle w:val="NormalWeb"/>
        <w:spacing w:lineRule="atLeast" w:line="240" w:before="0" w:after="0"/>
        <w:jc w:val="both"/>
        <w:rPr/>
      </w:pPr>
      <w:r>
        <w:rPr/>
        <w:tab/>
        <w:t xml:space="preserve">В случае ликвидации организации, осуществляющей доставку, а также отзыва у кредитной организации лицензии на осуществление банковских операций, территориальный орган ПФР уведомляет пенсионера о необходимости представления нового заявления о доставке пенсии. </w:t>
      </w:r>
    </w:p>
    <w:p>
      <w:pPr>
        <w:pStyle w:val="NormalWeb"/>
        <w:spacing w:lineRule="atLeast" w:line="240" w:before="0" w:after="0"/>
        <w:jc w:val="both"/>
        <w:rPr/>
      </w:pPr>
      <w:r>
        <w:rPr/>
        <w:tab/>
        <w:t xml:space="preserve">Заявление о выборе доставочной организации предоставляется в территориальный орган ПФР по месту жительства  или Многофункциональный центр представления государственных и муниципальных услуг, как пенсионером лично, так и через представителя, в том числе путем направления их по почте, либо при наличии письменного согласия пенсионера через его работодателя. </w:t>
        <w:tab/>
        <w:t xml:space="preserve"> </w:t>
      </w:r>
    </w:p>
    <w:p>
      <w:pPr>
        <w:pStyle w:val="NormalWeb"/>
        <w:spacing w:lineRule="atLeast" w:line="240" w:before="0" w:after="0"/>
        <w:jc w:val="both"/>
        <w:rPr/>
      </w:pPr>
      <w:r>
        <w:rPr/>
        <w:tab/>
        <w:t xml:space="preserve">Также заявление может быть представлено в форме электронного документа через «Единый портал государственных и муниципальных услуг» или  через информационную систему ПФР  "Личный кабинет застрахованного лица". </w:t>
      </w:r>
    </w:p>
    <w:p>
      <w:pPr>
        <w:pStyle w:val="NormalWeb"/>
        <w:spacing w:lineRule="atLeast" w:line="240" w:before="0" w:after="0"/>
        <w:jc w:val="both"/>
        <w:rPr>
          <w:b/>
          <w:b/>
        </w:rPr>
      </w:pPr>
      <w:r>
        <w:rPr/>
        <w:tab/>
        <w:t xml:space="preserve">Подача заявлений в электронной форме через сайт ПФР является наиболее перспективной формой взаимодействия Пенсионного фонда с населением, так как выбрать способ доставки пенсии можно не выходя из дома. Зарегистрироваться на портале государственных услуг и получить доступ в "Личный кабинет застрахованного лица" можно в территориальных органах  ПФР.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заключение следует отметить, что Пенсионный фонд всегда стоит на страже интересов пенсионеров, применяет в своей работе современные и передовые технологий, стремится к улучшению качества предоставляемых государственных услуг по выплате пенсий, исходя из интересов их получателей.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134" w:right="850" w:header="0" w:top="567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569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Заголовок 1"/>
    <w:basedOn w:val="Style12"/>
    <w:pPr/>
    <w:rPr/>
  </w:style>
  <w:style w:type="paragraph" w:styleId="2">
    <w:name w:val="Заголовок 2"/>
    <w:basedOn w:val="Style12"/>
    <w:pPr/>
    <w:rPr/>
  </w:style>
  <w:style w:type="paragraph" w:styleId="3">
    <w:name w:val="Заголовок 3"/>
    <w:basedOn w:val="Style12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0b5698"/>
    <w:rPr>
      <w:b/>
      <w:bCs/>
      <w:i w:val="false"/>
      <w:iCs w:val="false"/>
      <w:sz w:val="24"/>
      <w:szCs w:val="24"/>
    </w:rPr>
  </w:style>
  <w:style w:type="character" w:styleId="Style11" w:customStyle="1">
    <w:name w:val="Основной текст с отступом Знак"/>
    <w:basedOn w:val="DefaultParagraphFont"/>
    <w:link w:val="a5"/>
    <w:qFormat/>
    <w:rsid w:val="00247392"/>
    <w:rPr>
      <w:rFonts w:ascii="Times New Roman" w:hAnsi="Times New Roman" w:eastAsia="Times New Roman" w:cs="Times New Roman"/>
      <w:color w:val="000000"/>
      <w:sz w:val="26"/>
      <w:szCs w:val="20"/>
      <w:lang w:eastAsia="ru-RU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Mangal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qFormat/>
    <w:rsid w:val="000b5698"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Style17">
    <w:name w:val="Основной текст с отступом"/>
    <w:basedOn w:val="Normal"/>
    <w:link w:val="a6"/>
    <w:rsid w:val="00247392"/>
    <w:pPr>
      <w:spacing w:lineRule="auto" w:line="240" w:before="0" w:after="120"/>
      <w:ind w:left="283" w:hanging="0"/>
    </w:pPr>
    <w:rPr>
      <w:rFonts w:ascii="Times New Roman" w:hAnsi="Times New Roman" w:eastAsia="Times New Roman" w:cs="Times New Roman"/>
      <w:color w:val="000000"/>
      <w:sz w:val="26"/>
      <w:szCs w:val="20"/>
      <w:lang w:eastAsia="ru-RU"/>
    </w:rPr>
  </w:style>
  <w:style w:type="paragraph" w:styleId="Style18">
    <w:name w:val="Блочная цитата"/>
    <w:basedOn w:val="Normal"/>
    <w:qFormat/>
    <w:pPr/>
    <w:rPr/>
  </w:style>
  <w:style w:type="paragraph" w:styleId="Style19">
    <w:name w:val="Заглавие"/>
    <w:basedOn w:val="Style12"/>
    <w:pPr/>
    <w:rPr/>
  </w:style>
  <w:style w:type="paragraph" w:styleId="Style20">
    <w:name w:val="Подзаголовок"/>
    <w:basedOn w:val="Style12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97DB1-6AD4-4770-BA1D-85531777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LibreOffice/5.0.2.2$Windows_X86_64 LibreOffice_project/37b43f919e4de5eeaca9b9755ed688758a8251fe</Application>
  <Paragraphs>12</Paragraphs>
  <Company>Kraftway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2017-02-13T10:42:00Z</dcterms:created>
  <dc:creator>Гоголева</dc:creator>
  <dc:language>ru-RU</dc:language>
  <cp:lastPrinted>2017-02-13T06:16:00Z</cp:lastPrinted>
  <dcterms:modified xsi:type="dcterms:W3CDTF">2017-02-13T15:09:04Z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Kraftway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