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C4" w:rsidRPr="00253CC4" w:rsidRDefault="00253CC4" w:rsidP="00253CC4">
      <w:pPr>
        <w:rPr>
          <w:b/>
          <w:sz w:val="28"/>
          <w:szCs w:val="28"/>
        </w:rPr>
      </w:pPr>
      <w:r w:rsidRPr="00253CC4">
        <w:rPr>
          <w:b/>
          <w:sz w:val="28"/>
          <w:szCs w:val="28"/>
        </w:rPr>
        <w:t>Какие гарантии предусмотрены для работника в случае прекращения деятельности его работодателя – индивидуального предпринимателя?</w:t>
      </w:r>
    </w:p>
    <w:p w:rsidR="00253CC4" w:rsidRPr="00253CC4" w:rsidRDefault="00253CC4" w:rsidP="00253CC4">
      <w:pPr>
        <w:ind w:firstLine="708"/>
        <w:jc w:val="both"/>
        <w:rPr>
          <w:sz w:val="28"/>
          <w:szCs w:val="28"/>
        </w:rPr>
      </w:pPr>
      <w:r w:rsidRPr="00253CC4">
        <w:rPr>
          <w:sz w:val="28"/>
          <w:szCs w:val="28"/>
        </w:rPr>
        <w:t>Трудовым кодексом Российской Федерации установлено различное правовое регулирование труда работников, состоящих в трудовых отношениях с работодателем – физическим лицом, в том числе индивидуальным предпринимателем, и работников, работающих у работодателей – организаций.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253CC4">
        <w:rPr>
          <w:sz w:val="28"/>
          <w:szCs w:val="28"/>
        </w:rPr>
        <w:t>Прекращение трудового договора для работников, работающих у работодателей – физических лиц,</w:t>
      </w:r>
      <w:r>
        <w:rPr>
          <w:sz w:val="28"/>
          <w:szCs w:val="28"/>
        </w:rPr>
        <w:t xml:space="preserve"> </w:t>
      </w:r>
      <w:r w:rsidRPr="00253CC4">
        <w:rPr>
          <w:sz w:val="28"/>
          <w:szCs w:val="28"/>
        </w:rPr>
        <w:t>урегулировано специальной нормой – статьей</w:t>
      </w:r>
      <w:r>
        <w:rPr>
          <w:sz w:val="28"/>
          <w:szCs w:val="28"/>
        </w:rPr>
        <w:t xml:space="preserve"> </w:t>
      </w:r>
      <w:r w:rsidRPr="00253CC4">
        <w:rPr>
          <w:sz w:val="28"/>
          <w:szCs w:val="28"/>
        </w:rPr>
        <w:t>307 Трудового кодекса Российской Федерации, содержащей правило о том, что сроки предупреждения об увольнении, случаи и размеры выплачиваемого при прекращении трудового договора выходного пособия и других компенсационных выплат работникам, работающим у работодателей – физических лиц, могут быть определены трудовым договором, заключаемым между работником и работодателем – физическим лицом</w:t>
      </w:r>
      <w:proofErr w:type="gramEnd"/>
      <w:r w:rsidRPr="00253CC4">
        <w:rPr>
          <w:sz w:val="28"/>
          <w:szCs w:val="28"/>
        </w:rPr>
        <w:t>, в том числе индивидуальным предпринимателем.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253CC4">
        <w:rPr>
          <w:sz w:val="28"/>
          <w:szCs w:val="28"/>
        </w:rPr>
        <w:t>Таким образом, работодатель – индивидуальный предприниматель, увольняющий работников в связи с прекращением предпринимательской деятельности, обязан выплатить работнику выходное пособие, иные компенсационные выплаты, в том числе средний заработок, сохраняемый на период трудоустройства, только если соответствующие гарантии специально предусмотрены трудовым договором с работником.</w:t>
      </w:r>
    </w:p>
    <w:p w:rsidR="0018460C" w:rsidRDefault="0018460C"/>
    <w:sectPr w:rsidR="0018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73"/>
    <w:rsid w:val="0018460C"/>
    <w:rsid w:val="00253CC4"/>
    <w:rsid w:val="00B1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2017-12-26T08:42:00Z</dcterms:created>
  <dcterms:modified xsi:type="dcterms:W3CDTF">2017-12-26T08:43:00Z</dcterms:modified>
</cp:coreProperties>
</file>