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По информации Министерства сельского хозяйства РФ на территории РФ сохраняется угроза заноса и распространения африканской чумы свиней (далее АЧС) и высокопатогенного гриппа птиц (далее ВГП). В отношении ВГП данная угроза возрастает в условиях миграции перелетных птиц, а так же высокой скоростью спонтанных мутаций вируса, что приводит к распространению ВГП среди млекопитающих животных и человека. Одной из причин распространения АЧС является нарушение установленного ветеринарным законодательством РФ порядка уничтожения биологических отходов.</w:t>
      </w:r>
    </w:p>
    <w:p w14:paraId="02000000">
      <w:r>
        <w:t xml:space="preserve">В целях предупреждения указанных заболеваний, владельцев свиней и сельскохозяйственной птицы </w:t>
      </w:r>
      <w:r>
        <w:t xml:space="preserve">необходимо оповещать </w:t>
      </w:r>
      <w:r>
        <w:t>ветеринарные службы в случае падежа или заболевания, изменения в поведении восприимчивых животных.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2025-03-11T10:50:23Z</dcterms:modified>
</cp:coreProperties>
</file>