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6C296F" w:rsidRDefault="006C296F">
      <w:pPr>
        <w:jc w:val="both"/>
      </w:pPr>
    </w:p>
    <w:p w:rsidR="00180519" w:rsidRDefault="00180519" w:rsidP="00180519">
      <w:pPr>
        <w:jc w:val="center"/>
        <w:rPr>
          <w:b/>
          <w:sz w:val="28"/>
          <w:szCs w:val="28"/>
        </w:rPr>
      </w:pPr>
      <w:r w:rsidRPr="00943975">
        <w:rPr>
          <w:b/>
          <w:sz w:val="28"/>
          <w:szCs w:val="28"/>
        </w:rPr>
        <w:t>ПФР п</w:t>
      </w:r>
      <w:r>
        <w:rPr>
          <w:b/>
          <w:sz w:val="28"/>
          <w:szCs w:val="28"/>
        </w:rPr>
        <w:t>реумножил пенсионные накопления</w:t>
      </w:r>
    </w:p>
    <w:p w:rsidR="00180519" w:rsidRDefault="00180519" w:rsidP="00180519">
      <w:pPr>
        <w:jc w:val="center"/>
        <w:rPr>
          <w:b/>
          <w:sz w:val="28"/>
          <w:szCs w:val="28"/>
        </w:rPr>
      </w:pPr>
      <w:r w:rsidRPr="00943975">
        <w:rPr>
          <w:b/>
          <w:sz w:val="28"/>
          <w:szCs w:val="28"/>
        </w:rPr>
        <w:t xml:space="preserve">россиян на </w:t>
      </w:r>
      <w:r>
        <w:rPr>
          <w:b/>
          <w:sz w:val="28"/>
          <w:szCs w:val="28"/>
        </w:rPr>
        <w:t>14</w:t>
      </w:r>
      <w:r w:rsidRPr="00943975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943975">
        <w:rPr>
          <w:b/>
          <w:sz w:val="28"/>
          <w:szCs w:val="28"/>
        </w:rPr>
        <w:t xml:space="preserve"> млрд. рублей</w:t>
      </w:r>
    </w:p>
    <w:p w:rsidR="00180519" w:rsidRPr="00943975" w:rsidRDefault="00180519" w:rsidP="00180519">
      <w:pPr>
        <w:jc w:val="center"/>
        <w:rPr>
          <w:b/>
          <w:sz w:val="28"/>
          <w:szCs w:val="28"/>
        </w:rPr>
      </w:pPr>
    </w:p>
    <w:p w:rsidR="00180519" w:rsidRDefault="00180519" w:rsidP="00180519">
      <w:pPr>
        <w:spacing w:before="60" w:after="60"/>
        <w:ind w:firstLine="567"/>
        <w:jc w:val="both"/>
      </w:pPr>
      <w:r>
        <w:t xml:space="preserve">Общая сумма дохода, которую Пенсионный фонд России по результатам 2015 года получил от инвестирования средств пенсионных накоплений (временное размещение средств), составила 14,1 </w:t>
      </w:r>
      <w:proofErr w:type="gramStart"/>
      <w:r>
        <w:t>млрд</w:t>
      </w:r>
      <w:proofErr w:type="gramEnd"/>
      <w:r>
        <w:t xml:space="preserve"> рублей, что в пересчете составляет 14,5% годовых. При этом инфляция в России по итогам 2015 года составила 12,9%. Полученный Пенсионным фондом доход отражен на индивидуальных лицевых счетах застрахованных лиц.</w:t>
      </w:r>
    </w:p>
    <w:p w:rsidR="00180519" w:rsidRDefault="00180519" w:rsidP="00180519">
      <w:pPr>
        <w:spacing w:before="60" w:after="60"/>
        <w:ind w:firstLine="567"/>
        <w:jc w:val="both"/>
      </w:pPr>
      <w:r>
        <w:t>Для сравнения: доходность государственной управляющей компании «Внешэкономбанк» составила 13,2%, частных управляющих компаний – 15,2%. Доходность за 2015 год по негосударственным пенсионным фондам (НПФ) в настоящее время на сайте Банка России не опубликована.</w:t>
      </w:r>
    </w:p>
    <w:p w:rsidR="00180519" w:rsidRDefault="00180519" w:rsidP="00180519">
      <w:pPr>
        <w:spacing w:before="60" w:after="60"/>
        <w:ind w:firstLine="567"/>
        <w:jc w:val="both"/>
      </w:pPr>
      <w:r>
        <w:t>Напомним, по закону Пенсионный фонд имеет право инвестировать (временно размещать) страховые взносы на формирование пенсионных накоплений в системе ОПС до момента их передачи в управляющие компании и негосударственные пенсионные фонды в разрешенные законодательством активы.</w:t>
      </w:r>
    </w:p>
    <w:p w:rsidR="00180519" w:rsidRDefault="00180519" w:rsidP="00180519">
      <w:pPr>
        <w:spacing w:before="60" w:after="60"/>
        <w:ind w:firstLine="567"/>
        <w:jc w:val="both"/>
      </w:pPr>
      <w:r>
        <w:t>Доход</w:t>
      </w:r>
      <w:r w:rsidRPr="006B449D">
        <w:t xml:space="preserve"> </w:t>
      </w:r>
      <w:r>
        <w:t xml:space="preserve">Пенсионного фонда в объеме 14,1 </w:t>
      </w:r>
      <w:proofErr w:type="gramStart"/>
      <w:r>
        <w:t>млрд</w:t>
      </w:r>
      <w:proofErr w:type="gramEnd"/>
      <w:r>
        <w:t xml:space="preserve"> рублей (14,5%) сложился из следующих составляющих. Доход от размещения средств резерва по обязательному пенсионному страхованию (РОПС) – 1,7 </w:t>
      </w:r>
      <w:proofErr w:type="gramStart"/>
      <w:r>
        <w:t>млрд</w:t>
      </w:r>
      <w:proofErr w:type="gramEnd"/>
      <w:r>
        <w:t xml:space="preserve"> рублей (доходность – 15,1%); доход от размещения временно замороженных средств пенсионных накоплений– 9,8 млрд рублей (доходность – 14,7%); доход от размещения текущих средств страховых взносов, а также дополнительных страховых взносов и взносов работодателя – 2,6 млрд рублей (доходность – 13,7%).</w:t>
      </w:r>
    </w:p>
    <w:p w:rsidR="00180519" w:rsidRDefault="00180519" w:rsidP="00180519">
      <w:pPr>
        <w:spacing w:before="60" w:after="60"/>
        <w:ind w:firstLine="567"/>
        <w:jc w:val="both"/>
        <w:rPr>
          <w:lang w:val="en-US"/>
        </w:rPr>
      </w:pPr>
      <w:r>
        <w:t xml:space="preserve">При этом стоит отметить, что всего в 2015 году Пенсионный фонд провел 20 депозитных аукционов, по результатам которых было заключено 68 депозитных договоров. Оборот по размещенным ПФР средствам составил более 620 </w:t>
      </w:r>
      <w:proofErr w:type="gramStart"/>
      <w:r>
        <w:t>млрд</w:t>
      </w:r>
      <w:proofErr w:type="gramEnd"/>
      <w:r>
        <w:t xml:space="preserve"> рублей. Ставки по размещенным депозитам находились в пределах от 10,50% до 27,77% годовых.</w:t>
      </w:r>
    </w:p>
    <w:p w:rsidR="00180519" w:rsidRPr="00180519" w:rsidRDefault="00180519" w:rsidP="00180519">
      <w:pPr>
        <w:spacing w:before="60" w:after="60"/>
        <w:ind w:firstLine="567"/>
        <w:jc w:val="both"/>
        <w:rPr>
          <w:lang w:val="en-US"/>
        </w:rPr>
      </w:pPr>
      <w:bookmarkStart w:id="0" w:name="_GoBack"/>
      <w:bookmarkEnd w:id="0"/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149D2"/>
    <w:rsid w:val="000C1231"/>
    <w:rsid w:val="00157342"/>
    <w:rsid w:val="00166779"/>
    <w:rsid w:val="00180519"/>
    <w:rsid w:val="00190C5A"/>
    <w:rsid w:val="00296A2B"/>
    <w:rsid w:val="002B544F"/>
    <w:rsid w:val="00386947"/>
    <w:rsid w:val="003E726D"/>
    <w:rsid w:val="00446B5B"/>
    <w:rsid w:val="00467766"/>
    <w:rsid w:val="004910ED"/>
    <w:rsid w:val="004B3E72"/>
    <w:rsid w:val="004D1446"/>
    <w:rsid w:val="004E0081"/>
    <w:rsid w:val="004F2168"/>
    <w:rsid w:val="0055543A"/>
    <w:rsid w:val="005F59EE"/>
    <w:rsid w:val="006562EA"/>
    <w:rsid w:val="006724D3"/>
    <w:rsid w:val="006C296F"/>
    <w:rsid w:val="0078729A"/>
    <w:rsid w:val="00842B58"/>
    <w:rsid w:val="008F2CBA"/>
    <w:rsid w:val="009344B8"/>
    <w:rsid w:val="00936F3C"/>
    <w:rsid w:val="009D1BFB"/>
    <w:rsid w:val="00A72895"/>
    <w:rsid w:val="00AD3D0D"/>
    <w:rsid w:val="00BB4EEF"/>
    <w:rsid w:val="00DB038B"/>
    <w:rsid w:val="00DD33D4"/>
    <w:rsid w:val="00EA023F"/>
    <w:rsid w:val="00F54053"/>
    <w:rsid w:val="00F635F4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A302</dc:creator>
  <cp:keywords/>
  <cp:lastModifiedBy>uo0002202</cp:lastModifiedBy>
  <cp:revision>2</cp:revision>
  <cp:lastPrinted>2012-04-18T12:08:00Z</cp:lastPrinted>
  <dcterms:created xsi:type="dcterms:W3CDTF">2016-02-16T10:32:00Z</dcterms:created>
  <dcterms:modified xsi:type="dcterms:W3CDTF">2016-02-16T10:32:00Z</dcterms:modified>
</cp:coreProperties>
</file>